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85" w:rsidRPr="00563848" w:rsidRDefault="00692485" w:rsidP="00632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ŠILUTĖS ŽIBŲ PRADINĖS MOKYKLOS VEIKLOS KOKYBĖS GILUMINIO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ĮSIVERTINIMO ATASKAITA 2022-2023</w:t>
      </w: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M.M.</w:t>
      </w: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>Mokyklos veiklos kokybės įsivertinimo teisinė bazė:</w:t>
      </w: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sz w:val="24"/>
          <w:szCs w:val="24"/>
          <w:lang w:val="lt-LT"/>
        </w:rPr>
        <w:t xml:space="preserve">          Mokyklos veiklos įsivertinimas vykdomas remiantis LR Švietimo įstatymu, 2013 m. gruodžio23 d. nutarimu Nr. XII-745, ir Švietimo ir mokslo ministro įsakymu 2015 m. gruodžio 21d. įsakymu Nr. V- 1308  „Dėl Geros mokyklos koncepcijos patvirtinimo“. Tvirtinama mokyklos , įgyvendinančios bendrojo ugdymo programas, veiklos kokybės įsivertinimo metodika. Šis įsakymas įsigalioja 2016m. rugsėjo 1 dieną.</w:t>
      </w: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92485" w:rsidRDefault="00692485" w:rsidP="0009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  <w:r w:rsidRPr="00563848">
        <w:rPr>
          <w:rFonts w:ascii="Times New Roman" w:hAnsi="Times New Roman" w:cs="Times New Roman"/>
          <w:sz w:val="24"/>
          <w:szCs w:val="24"/>
          <w:lang w:val="lt-LT"/>
        </w:rPr>
        <w:t xml:space="preserve">Atlikti mokyklos veiklos kokybės </w:t>
      </w:r>
      <w:r>
        <w:rPr>
          <w:rFonts w:ascii="Times New Roman" w:hAnsi="Times New Roman" w:cs="Times New Roman"/>
          <w:sz w:val="24"/>
          <w:szCs w:val="24"/>
          <w:lang w:val="lt-LT"/>
        </w:rPr>
        <w:t>rodiklio 2.1.3. Orientavimasis į mokinių poreikius</w:t>
      </w:r>
      <w:r w:rsidR="00A61257">
        <w:rPr>
          <w:rFonts w:ascii="Times New Roman" w:hAnsi="Times New Roman" w:cs="Times New Roman"/>
          <w:sz w:val="24"/>
          <w:szCs w:val="24"/>
          <w:lang w:val="lt-LT"/>
        </w:rPr>
        <w:t xml:space="preserve"> giluminį įsivertinimą.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Raktiniai žodžiai: poreikių pažinimas, pagalba mokiniui, gabumų ir talentų ugdymas.</w:t>
      </w: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UŽDAVINIAI: </w:t>
      </w:r>
      <w:r w:rsidRPr="00563848">
        <w:rPr>
          <w:rFonts w:ascii="Times New Roman" w:hAnsi="Times New Roman" w:cs="Times New Roman"/>
          <w:sz w:val="24"/>
          <w:szCs w:val="24"/>
          <w:lang w:val="lt-LT"/>
        </w:rPr>
        <w:t>Rinkti, apdoroti, analizuoti, įforminti mokyklos veiklos kokybės įsivertinimo rezultatus.</w:t>
      </w: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sz w:val="24"/>
          <w:szCs w:val="24"/>
          <w:lang w:val="lt-LT"/>
        </w:rPr>
        <w:t>Stiprinti mokyklos bendruomenės narių tapatumo jausmą, atsakomybę už mokyklos veiklos kokybę.</w:t>
      </w:r>
    </w:p>
    <w:p w:rsidR="00692485" w:rsidRDefault="00692485" w:rsidP="0009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sz w:val="24"/>
          <w:szCs w:val="24"/>
          <w:lang w:val="lt-LT"/>
        </w:rPr>
        <w:t>Teikti mokyklos bendruomenės nariams patikimą ir išsamią informaciją apie visų mokyklos veiklos sričių kokybę.</w:t>
      </w:r>
    </w:p>
    <w:p w:rsidR="00692485" w:rsidRPr="00563848" w:rsidRDefault="00692485" w:rsidP="0009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92485" w:rsidRDefault="00692485" w:rsidP="00091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>Giluminiam vert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inimui 2022-2023</w:t>
      </w: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>m.m</w:t>
      </w:r>
      <w:proofErr w:type="spellEnd"/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>. pasirinktas rodiklis:</w:t>
      </w:r>
    </w:p>
    <w:p w:rsidR="00692485" w:rsidRDefault="00692485" w:rsidP="00091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2.1.3. Orientavimasis į mokinių poreikius.</w:t>
      </w:r>
    </w:p>
    <w:p w:rsidR="00692485" w:rsidRPr="00563848" w:rsidRDefault="00692485" w:rsidP="00632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2485" w:rsidRPr="00563848" w:rsidRDefault="00692485" w:rsidP="00632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>Tobulinimui:</w:t>
      </w:r>
    </w:p>
    <w:p w:rsidR="00632282" w:rsidRDefault="00692485" w:rsidP="00632282">
      <w:pPr>
        <w:pStyle w:val="Sraopastraip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b/>
          <w:sz w:val="24"/>
          <w:szCs w:val="24"/>
          <w:lang w:val="lt-LT"/>
        </w:rPr>
        <w:t>2. 2.2.1.</w:t>
      </w:r>
      <w:r w:rsidRPr="00563848">
        <w:rPr>
          <w:rFonts w:ascii="Times New Roman" w:hAnsi="Times New Roman" w:cs="Times New Roman"/>
          <w:sz w:val="24"/>
          <w:szCs w:val="24"/>
          <w:lang w:val="lt-LT"/>
        </w:rPr>
        <w:t>Mokymosi įprasminimas.</w:t>
      </w:r>
    </w:p>
    <w:p w:rsidR="00692485" w:rsidRPr="00632282" w:rsidRDefault="00632282" w:rsidP="00632282">
      <w:pPr>
        <w:pStyle w:val="Sraopastraip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32282">
        <w:rPr>
          <w:rFonts w:ascii="Times New Roman" w:hAnsi="Times New Roman" w:cs="Times New Roman"/>
          <w:sz w:val="24"/>
          <w:szCs w:val="24"/>
          <w:lang w:val="lt-LT"/>
        </w:rPr>
        <w:t xml:space="preserve">Kodėl pasirinkome šį rodiklį tobulinimui </w:t>
      </w:r>
      <w:r w:rsidR="00692485" w:rsidRPr="00632282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692485" w:rsidRPr="00563848" w:rsidRDefault="00692485" w:rsidP="00632282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3848">
        <w:rPr>
          <w:rFonts w:ascii="Times New Roman" w:hAnsi="Times New Roman" w:cs="Times New Roman"/>
          <w:sz w:val="24"/>
          <w:szCs w:val="24"/>
          <w:lang w:val="lt-LT"/>
        </w:rPr>
        <w:t>Tęsiamos suplanuotos veiklos (projektai: „ LET‘S CREATE OUR BOOK TOGETHER“, „GAMIFICATION IN CLASS – CHALLENGES AND REWARDS“, „ VEŽA“, praktinių studijų dienos), kurios parodys kokią įtaką jos turėjo mokinių mokymosi įprasminimui.</w:t>
      </w:r>
    </w:p>
    <w:p w:rsidR="00692485" w:rsidRPr="00632282" w:rsidRDefault="00953C36" w:rsidP="00632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Darbo grupė 2.1.3</w:t>
      </w:r>
      <w:r w:rsidR="00692485" w:rsidRPr="00563848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632282">
        <w:rPr>
          <w:rFonts w:ascii="Times New Roman" w:hAnsi="Times New Roman" w:cs="Times New Roman"/>
          <w:sz w:val="24"/>
          <w:szCs w:val="24"/>
          <w:lang w:val="lt-LT"/>
        </w:rPr>
        <w:t>2.1.3. Orientavimasis į mokinių poreikius</w:t>
      </w:r>
      <w:r w:rsidR="00632282" w:rsidRPr="0063228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92485" w:rsidRPr="00632282">
        <w:rPr>
          <w:rFonts w:ascii="Times New Roman" w:hAnsi="Times New Roman" w:cs="Times New Roman"/>
          <w:sz w:val="24"/>
          <w:szCs w:val="24"/>
          <w:lang w:val="lt-LT"/>
        </w:rPr>
        <w:t xml:space="preserve"> rodikliui nagrinėti pa</w:t>
      </w:r>
      <w:r w:rsidR="00560019">
        <w:rPr>
          <w:rFonts w:ascii="Times New Roman" w:hAnsi="Times New Roman" w:cs="Times New Roman"/>
          <w:sz w:val="24"/>
          <w:szCs w:val="24"/>
          <w:lang w:val="lt-LT"/>
        </w:rPr>
        <w:t>sirinko šiuos šaltinius:</w:t>
      </w:r>
    </w:p>
    <w:p w:rsidR="00FC5DBC" w:rsidRPr="00632282" w:rsidRDefault="00FC5DBC" w:rsidP="00632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C5DBC" w:rsidRPr="0042369C" w:rsidRDefault="00953C36" w:rsidP="0063228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369C">
        <w:rPr>
          <w:rFonts w:ascii="Times New Roman" w:hAnsi="Times New Roman" w:cs="Times New Roman"/>
          <w:sz w:val="24"/>
          <w:szCs w:val="24"/>
          <w:lang w:val="lt-LT"/>
        </w:rPr>
        <w:t>Logopedų metinės ataskaitos</w:t>
      </w:r>
      <w:r w:rsidR="00560019">
        <w:rPr>
          <w:rFonts w:ascii="Times New Roman" w:hAnsi="Times New Roman" w:cs="Times New Roman"/>
          <w:sz w:val="24"/>
          <w:szCs w:val="24"/>
          <w:lang w:val="lt-LT"/>
        </w:rPr>
        <w:t>, pokalbis</w:t>
      </w:r>
    </w:p>
    <w:p w:rsidR="00953C36" w:rsidRPr="0042369C" w:rsidRDefault="00953C36" w:rsidP="0063228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369C">
        <w:rPr>
          <w:rFonts w:ascii="Times New Roman" w:hAnsi="Times New Roman" w:cs="Times New Roman"/>
          <w:sz w:val="24"/>
          <w:szCs w:val="24"/>
          <w:lang w:val="lt-LT"/>
        </w:rPr>
        <w:t>Olimpiadų, konkursų (tarptautinių, respublikinių, regioninių) laimėjimai</w:t>
      </w:r>
    </w:p>
    <w:p w:rsidR="00D96E91" w:rsidRDefault="00953C36" w:rsidP="0063228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369C">
        <w:rPr>
          <w:rFonts w:ascii="Times New Roman" w:hAnsi="Times New Roman" w:cs="Times New Roman"/>
          <w:sz w:val="24"/>
          <w:szCs w:val="24"/>
          <w:lang w:val="lt-LT"/>
        </w:rPr>
        <w:t>Tarptautiniai ir respublikiniai šokių kolektyvų laimėjimai</w:t>
      </w:r>
    </w:p>
    <w:p w:rsidR="00990F0B" w:rsidRPr="00990F0B" w:rsidRDefault="00990F0B" w:rsidP="0063228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90F0B">
        <w:rPr>
          <w:rFonts w:ascii="Times New Roman" w:hAnsi="Times New Roman" w:cs="Times New Roman"/>
          <w:bCs/>
          <w:sz w:val="24"/>
          <w:szCs w:val="24"/>
          <w:lang w:val="lt-LT"/>
        </w:rPr>
        <w:t>2020-2021 m. m. II pusmečio mokinių pažangos  analizė</w:t>
      </w:r>
    </w:p>
    <w:p w:rsidR="00990F0B" w:rsidRPr="00990F0B" w:rsidRDefault="00990F0B" w:rsidP="0063228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F0B">
        <w:rPr>
          <w:rFonts w:ascii="Times New Roman" w:hAnsi="Times New Roman" w:cs="Times New Roman"/>
          <w:bCs/>
          <w:sz w:val="24"/>
          <w:szCs w:val="24"/>
          <w:lang w:val="lt-LT"/>
        </w:rPr>
        <w:t>2022-2023 m. m. II pusmečio mokinių pažangos  analizė</w:t>
      </w:r>
    </w:p>
    <w:p w:rsidR="00990F0B" w:rsidRPr="00990F0B" w:rsidRDefault="00990F0B" w:rsidP="0063228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7A5E">
        <w:rPr>
          <w:rFonts w:ascii="Times New Roman" w:hAnsi="Times New Roman" w:cs="Times New Roman"/>
          <w:sz w:val="24"/>
          <w:szCs w:val="24"/>
          <w:lang w:val="lt-LT"/>
        </w:rPr>
        <w:t>Metodinės grupės posėdžio protokolai</w:t>
      </w:r>
    </w:p>
    <w:p w:rsidR="00D96E91" w:rsidRDefault="00D96E91" w:rsidP="00632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96E91" w:rsidRDefault="00D96E91" w:rsidP="00632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96E91" w:rsidRDefault="00D96E91" w:rsidP="00D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96E91">
        <w:rPr>
          <w:rFonts w:ascii="Times New Roman" w:hAnsi="Times New Roman" w:cs="Times New Roman"/>
          <w:b/>
          <w:sz w:val="24"/>
          <w:szCs w:val="24"/>
          <w:lang w:val="lt-LT"/>
        </w:rPr>
        <w:t xml:space="preserve">Raktinis žodis: Poreikių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Pr="00D96E91">
        <w:rPr>
          <w:rFonts w:ascii="Times New Roman" w:hAnsi="Times New Roman" w:cs="Times New Roman"/>
          <w:b/>
          <w:sz w:val="24"/>
          <w:szCs w:val="24"/>
          <w:lang w:val="lt-LT"/>
        </w:rPr>
        <w:t>ažinimas</w:t>
      </w:r>
    </w:p>
    <w:p w:rsidR="00C87A5E" w:rsidRPr="00C87A5E" w:rsidRDefault="00C87A5E" w:rsidP="00CD5F4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75E29">
        <w:rPr>
          <w:rFonts w:ascii="Times New Roman" w:hAnsi="Times New Roman" w:cs="Times New Roman"/>
          <w:b/>
          <w:sz w:val="24"/>
          <w:szCs w:val="24"/>
          <w:lang w:val="lt-LT"/>
        </w:rPr>
        <w:t xml:space="preserve">Iliustracija: </w:t>
      </w:r>
      <w:r w:rsidR="00B75E29" w:rsidRPr="00B75E29">
        <w:rPr>
          <w:rFonts w:ascii="Times New Roman" w:hAnsi="Times New Roman" w:cs="Times New Roman"/>
          <w:sz w:val="24"/>
          <w:szCs w:val="24"/>
          <w:lang w:val="lt-LT"/>
        </w:rPr>
        <w:t xml:space="preserve">Mokykloje sistemingai analizuojami mokinių ugdymosi poreikiai.  </w:t>
      </w:r>
    </w:p>
    <w:p w:rsidR="00C87A5E" w:rsidRPr="00C87A5E" w:rsidRDefault="00C87A5E" w:rsidP="00C8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69"/>
        <w:gridCol w:w="2656"/>
        <w:gridCol w:w="2711"/>
        <w:gridCol w:w="2520"/>
      </w:tblGrid>
      <w:tr w:rsidR="00560019" w:rsidRPr="00C87A5E" w:rsidTr="004F2E09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Temos, rodikliai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RAKTINIAI ŽODŽIAI, raktinių žodžių turinys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Iliustracija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Pagalbiniai klausimai ( Šaltiniai)</w:t>
            </w:r>
          </w:p>
        </w:tc>
      </w:tr>
      <w:tr w:rsidR="00560019" w:rsidRPr="00C87A5E" w:rsidTr="004F2E09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2.1. Ugdymo(</w:t>
            </w:r>
            <w:proofErr w:type="spellStart"/>
            <w:r w:rsidRPr="00C8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si</w:t>
            </w:r>
            <w:proofErr w:type="spellEnd"/>
            <w:r w:rsidRPr="00C8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 planavimas 2.1.3. Orientavimasis į mokinių poreikius</w:t>
            </w:r>
          </w:p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Poreikių pažinimas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Mokykloje sistemingai analizuojami mokinių ugdymosi poreikiai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5E" w:rsidRPr="00C87A5E" w:rsidRDefault="00C87A5E" w:rsidP="00C87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87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2020-2021 m. m. II pusmečio mokinių pažangos  analizė</w:t>
            </w:r>
          </w:p>
          <w:p w:rsidR="00C87A5E" w:rsidRPr="00C87A5E" w:rsidRDefault="00C87A5E" w:rsidP="00C8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2022-2023 m. m. II pusmečio mokinių pažangos  analizė</w:t>
            </w:r>
          </w:p>
          <w:p w:rsidR="00C87A5E" w:rsidRPr="00C87A5E" w:rsidRDefault="00560019" w:rsidP="00C8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</w:t>
            </w:r>
            <w:r w:rsidR="005132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okyklos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okytojų tarybos </w:t>
            </w:r>
            <w:r w:rsidR="00C87A5E" w:rsidRPr="00C87A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posėdžio protokolai</w:t>
            </w:r>
          </w:p>
        </w:tc>
      </w:tr>
    </w:tbl>
    <w:p w:rsidR="00C87A5E" w:rsidRPr="00C87A5E" w:rsidRDefault="00C87A5E" w:rsidP="005F3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C87A5E" w:rsidRPr="00C87A5E" w:rsidRDefault="00C87A5E" w:rsidP="005F3B8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Šiai temai nagrinėti buvo pasirinktas šaltiniai: </w:t>
      </w:r>
      <w:r w:rsidRPr="00C87A5E">
        <w:rPr>
          <w:rFonts w:ascii="Times New Roman" w:hAnsi="Times New Roman" w:cs="Times New Roman"/>
          <w:b/>
          <w:bCs/>
          <w:sz w:val="24"/>
          <w:szCs w:val="24"/>
          <w:lang w:val="lt-LT"/>
        </w:rPr>
        <w:t>2020-2021 m. m. II pusmečio mokinių pažangos  analizė, 2022-2023 m. m. II pusmečio mokinių pažangos  analizė</w:t>
      </w:r>
      <w:r w:rsidR="00831578">
        <w:rPr>
          <w:rFonts w:ascii="Times New Roman" w:hAnsi="Times New Roman" w:cs="Times New Roman"/>
          <w:sz w:val="24"/>
          <w:szCs w:val="24"/>
          <w:lang w:val="lt-LT"/>
        </w:rPr>
        <w:t>. Mokyklos mokytojų tarybos   posėdžių</w:t>
      </w:r>
      <w:r w:rsidRPr="00C87A5E">
        <w:rPr>
          <w:rFonts w:ascii="Times New Roman" w:hAnsi="Times New Roman" w:cs="Times New Roman"/>
          <w:sz w:val="24"/>
          <w:szCs w:val="24"/>
          <w:lang w:val="lt-LT"/>
        </w:rPr>
        <w:t xml:space="preserve"> protokolai.  Išanalizavus Šilutės Žibų pradinės mokyklos 4 klasių II pusmečio mokinių pažangos rezultatus pastebėta, kad 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2021-2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022m.m. . II pusmetį mokinių lietuvių kalbos pažangumas buvo: aukštesnįjį lygį pasiekė 21 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pagrindinį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- 50%,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patenkinamą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- 29%,</w:t>
      </w:r>
      <w:r w:rsidRPr="00C87A5E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2022- 2023m.m. II pusmetį mokinių lietuvių kalbos pažangumas buvo: aukštesnįjį lygį pasiekė 41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pagrindinį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- 43%. 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patenkinamą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- 16%. </w:t>
      </w:r>
    </w:p>
    <w:p w:rsidR="00C87A5E" w:rsidRPr="00C87A5E" w:rsidRDefault="00C87A5E" w:rsidP="005F3B8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2021-2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022m.m</w:t>
      </w:r>
      <w:proofErr w:type="gramStart"/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. .</w:t>
      </w:r>
      <w:proofErr w:type="gramEnd"/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II pusmetį mokinių matematikos  pažangumas buvo: aukštesnįjį lygį pasiekė 18 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pagrindinį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- 53%,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patenkinamą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- 29%,</w:t>
      </w:r>
      <w:r w:rsidRPr="00C87A5E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2022- 2023m.m. II pusmetį mokinių matematikos pažangumas buvo: aukštesnįjį lygį pasiekė 47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pagrindinį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- 37%. 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patenkinamą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- 16%. </w:t>
      </w:r>
    </w:p>
    <w:p w:rsidR="00C87A5E" w:rsidRPr="00C87A5E" w:rsidRDefault="00C87A5E" w:rsidP="005F3B8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2021-2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022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m.m</w:t>
      </w:r>
      <w:proofErr w:type="spellEnd"/>
      <w:proofErr w:type="gramStart"/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. .</w:t>
      </w:r>
      <w:proofErr w:type="gramEnd"/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II pusmetį mokinių pasaulio pažinimo pažangumas buvo: aukštesnįjį lygį pasiekė 15 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pagrindinį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- 62%,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patenkinamą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- 23%,</w:t>
      </w:r>
      <w:r w:rsidRPr="00C87A5E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2022- 2023m.m. II pusmetį mokinių pasaulio pažinimo pažangumas buvo: aukštesnįjį lygį pasiekė 49</w:t>
      </w:r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%,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pagrindinį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- 37%. ,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patenkinamą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</w:t>
      </w:r>
      <w:proofErr w:type="spellStart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>lygį</w:t>
      </w:r>
      <w:proofErr w:type="spellEnd"/>
      <w:r w:rsidRPr="00C87A5E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- 14%. </w:t>
      </w:r>
    </w:p>
    <w:p w:rsidR="00C87A5E" w:rsidRPr="00C87A5E" w:rsidRDefault="00C87A5E" w:rsidP="005F3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C87A5E">
        <w:rPr>
          <w:rFonts w:ascii="Times New Roman" w:hAnsi="Times New Roman" w:cs="Times New Roman"/>
          <w:b/>
          <w:bCs/>
          <w:sz w:val="24"/>
          <w:szCs w:val="24"/>
          <w:lang w:val="lt-LT"/>
        </w:rPr>
        <w:t>Išvada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: </w:t>
      </w: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>Pateikti duomenys rodo, kad 4-ų klasių mokinių mokymosi rezultatai gerėja: pakilo aukštesnįjį lygį pasiekusių mokinių procentas ir sumažėjo- patenkinamą  lygį pasiekusių mokinių procentas.</w:t>
      </w:r>
    </w:p>
    <w:p w:rsidR="00C87A5E" w:rsidRPr="00C87A5E" w:rsidRDefault="00C87A5E" w:rsidP="005F3B88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7A5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Galima teigti, kad mokykloje  sistemingai analizuojami mokinių ugdymosi poreikiai ir mokinių pasiekimai.  Nustačius mokinių poreikius, mokytojai koreguoja ugdymo programas, teminius planus, todėl  gerėja mokinių žinios ir  pasiekimai.</w:t>
      </w:r>
    </w:p>
    <w:p w:rsidR="00C87A5E" w:rsidRPr="00C87A5E" w:rsidRDefault="00C87A5E" w:rsidP="005F3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96E91" w:rsidRDefault="00D96E91" w:rsidP="005F3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Raktinis žodis: Pagalba mokiniui</w:t>
      </w:r>
    </w:p>
    <w:p w:rsidR="00285422" w:rsidRDefault="00285422" w:rsidP="005F3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5422" w:rsidRPr="00285422" w:rsidRDefault="00285422" w:rsidP="005F3B8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422">
        <w:rPr>
          <w:rFonts w:ascii="Times New Roman" w:hAnsi="Times New Roman" w:cs="Times New Roman"/>
          <w:b/>
          <w:sz w:val="24"/>
          <w:szCs w:val="24"/>
          <w:lang w:val="lt-LT"/>
        </w:rPr>
        <w:t>Iliustracija:</w:t>
      </w:r>
      <w:r w:rsidRPr="00285422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285422">
        <w:rPr>
          <w:rFonts w:ascii="Times New Roman" w:hAnsi="Times New Roman" w:cs="Times New Roman"/>
          <w:sz w:val="24"/>
          <w:szCs w:val="24"/>
          <w:lang w:val="lt-LT"/>
        </w:rPr>
        <w:t xml:space="preserve">Visų pirmų klasių mokinių kalba mokslo metų pradžioje yra įvertinama logopedo. </w:t>
      </w:r>
    </w:p>
    <w:p w:rsidR="00285422" w:rsidRDefault="00285422" w:rsidP="005F3B8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422">
        <w:rPr>
          <w:rFonts w:ascii="Times New Roman" w:hAnsi="Times New Roman" w:cs="Times New Roman"/>
          <w:sz w:val="24"/>
          <w:szCs w:val="24"/>
          <w:lang w:val="lt-LT"/>
        </w:rPr>
        <w:t>Daugumai</w:t>
      </w:r>
      <w:r w:rsidR="00F4306F">
        <w:rPr>
          <w:rFonts w:ascii="Times New Roman" w:hAnsi="Times New Roman" w:cs="Times New Roman"/>
          <w:sz w:val="24"/>
          <w:szCs w:val="24"/>
          <w:lang w:val="lt-LT"/>
        </w:rPr>
        <w:t xml:space="preserve"> (60-89%)</w:t>
      </w:r>
      <w:r w:rsidRPr="00285422">
        <w:rPr>
          <w:rFonts w:ascii="Times New Roman" w:hAnsi="Times New Roman" w:cs="Times New Roman"/>
          <w:sz w:val="24"/>
          <w:szCs w:val="24"/>
          <w:lang w:val="lt-LT"/>
        </w:rPr>
        <w:t xml:space="preserve"> mokyklos mokinių, turintiems kalbos ir kitų kalbėjimo sutrikimų, teikiama logopedo pagalba.</w:t>
      </w:r>
    </w:p>
    <w:p w:rsidR="00585895" w:rsidRDefault="00585895" w:rsidP="005858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85895" w:rsidRPr="00585895" w:rsidRDefault="00585895" w:rsidP="005858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858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2021/2022 </w:t>
      </w:r>
      <w:proofErr w:type="spellStart"/>
      <w:r w:rsidRPr="00585895">
        <w:rPr>
          <w:rFonts w:ascii="Times New Roman" w:hAnsi="Times New Roman" w:cs="Times New Roman"/>
          <w:b/>
          <w:sz w:val="24"/>
          <w:szCs w:val="24"/>
          <w:lang w:val="lt-LT"/>
        </w:rPr>
        <w:t>m.m</w:t>
      </w:r>
      <w:proofErr w:type="spellEnd"/>
      <w:r w:rsidRPr="00585895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31255A" w:rsidRPr="00543EEB" w:rsidRDefault="0031255A" w:rsidP="0031255A">
      <w:pPr>
        <w:keepNext/>
        <w:spacing w:before="180" w:after="0" w:line="360" w:lineRule="auto"/>
        <w:jc w:val="center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543EEB">
        <w:rPr>
          <w:rFonts w:ascii="Times New Roman" w:eastAsia="Calibri" w:hAnsi="Times New Roman" w:cs="Times New Roman"/>
          <w:noProof/>
          <w:sz w:val="28"/>
          <w:szCs w:val="24"/>
        </w:rPr>
        <w:t xml:space="preserve"> </w:t>
      </w:r>
    </w:p>
    <w:tbl>
      <w:tblPr>
        <w:tblW w:w="107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5"/>
        <w:gridCol w:w="3179"/>
        <w:gridCol w:w="1378"/>
        <w:gridCol w:w="1350"/>
        <w:gridCol w:w="900"/>
        <w:gridCol w:w="1260"/>
        <w:gridCol w:w="720"/>
        <w:gridCol w:w="1350"/>
      </w:tblGrid>
      <w:tr w:rsidR="0031255A" w:rsidRPr="00543EEB" w:rsidTr="004F2E09">
        <w:trPr>
          <w:cantSplit/>
          <w:trHeight w:val="27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Eil.</w:t>
            </w:r>
          </w:p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Nr.</w:t>
            </w:r>
          </w:p>
        </w:tc>
        <w:tc>
          <w:tcPr>
            <w:tcW w:w="317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Kalbos ir kiti  komunikacijos sutrikimai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Mokinių, turinčių kalbos ir kitų komunikacijos sutrikimų, skaičius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Lankė logopedines pratybas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Pasiekimai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31255A" w:rsidRPr="00543EEB" w:rsidRDefault="0031255A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Logopedo</w:t>
            </w:r>
            <w:r w:rsidRPr="00543EEB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 xml:space="preserve"> </w:t>
            </w: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pagalba tęsiama</w:t>
            </w:r>
          </w:p>
        </w:tc>
      </w:tr>
      <w:tr w:rsidR="0031255A" w:rsidRPr="00543EEB" w:rsidTr="004F2E09">
        <w:trPr>
          <w:cantSplit/>
          <w:trHeight w:val="276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 xml:space="preserve">Sutrikimas pašalintas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Sutrikimas dalinai pašalintas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Nėra pasiekimų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1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Kalbėjimo sutrikimai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Kalbėjimo tempo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Balso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528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pacing w:val="-10"/>
                <w:sz w:val="24"/>
                <w:szCs w:val="24"/>
              </w:rPr>
              <w:t>Kalbos sutrikimai:</w:t>
            </w:r>
          </w:p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pacing w:val="-10"/>
                <w:sz w:val="24"/>
                <w:szCs w:val="24"/>
              </w:rPr>
              <w:t>kalbos neišsivystymas: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30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-10"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nežymus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31255A" w:rsidRPr="00543EEB" w:rsidTr="004F2E09">
        <w:trPr>
          <w:cantSplit/>
          <w:trHeight w:val="30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vidutinis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163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žymus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419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fonologiniai sutrikimai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 w:rsidR="003125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 w:rsidR="003125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5858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31255A" w:rsidRPr="00543EEB" w:rsidTr="004F2E09">
        <w:trPr>
          <w:cantSplit/>
          <w:trHeight w:val="272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sutrikdyta kalbos raida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585895" w:rsidP="004F2E0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31255A" w:rsidRPr="00543EEB" w:rsidTr="004F2E09">
        <w:trPr>
          <w:cantSplit/>
          <w:trHeight w:val="272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sulėtėjusi kalbos raida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Rašymo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Skaitymo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8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Įvairūs kiti  komunikacijos sutrikimai:mikčiojimas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143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28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elektyvusis mutizmas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  <w:trHeight w:val="2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Kiti sutrikimai: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1255A" w:rsidRPr="00543EEB" w:rsidTr="004F2E09">
        <w:trPr>
          <w:cantSplit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Iš viso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5858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55A" w:rsidRPr="00543EEB" w:rsidRDefault="0031255A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5A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49</w:t>
            </w:r>
            <w:r w:rsidR="003125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31255A" w:rsidRDefault="0031255A" w:rsidP="0031255A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585895" w:rsidRDefault="00585895" w:rsidP="00585895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585895">
        <w:rPr>
          <w:rFonts w:ascii="Times New Roman" w:eastAsia="Calibri" w:hAnsi="Times New Roman" w:cs="Times New Roman"/>
          <w:b/>
          <w:noProof/>
          <w:sz w:val="24"/>
          <w:szCs w:val="24"/>
        </w:rPr>
        <w:t>2022/2023 m.m.</w:t>
      </w:r>
    </w:p>
    <w:p w:rsidR="00585895" w:rsidRDefault="00585895" w:rsidP="00585895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107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5"/>
        <w:gridCol w:w="3179"/>
        <w:gridCol w:w="1378"/>
        <w:gridCol w:w="1350"/>
        <w:gridCol w:w="900"/>
        <w:gridCol w:w="1260"/>
        <w:gridCol w:w="720"/>
        <w:gridCol w:w="1350"/>
      </w:tblGrid>
      <w:tr w:rsidR="00585895" w:rsidRPr="00543EEB" w:rsidTr="004F2E09">
        <w:trPr>
          <w:cantSplit/>
          <w:trHeight w:val="27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Eil.</w:t>
            </w:r>
          </w:p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Nr.</w:t>
            </w:r>
          </w:p>
        </w:tc>
        <w:tc>
          <w:tcPr>
            <w:tcW w:w="317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Kalbos ir kiti  komunikacijos sutrikimai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Mokinių, turinčių kalbos ir kitų komunikacijos sutrikimų, skaičius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Lankė logopedines pratybas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Pasiekimai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585895" w:rsidRPr="00543EEB" w:rsidRDefault="00585895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Logopedo</w:t>
            </w:r>
            <w:r w:rsidRPr="00543EEB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 xml:space="preserve"> </w:t>
            </w: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pagalba tęsiama</w:t>
            </w:r>
          </w:p>
        </w:tc>
      </w:tr>
      <w:tr w:rsidR="00585895" w:rsidRPr="00543EEB" w:rsidTr="004F2E09">
        <w:trPr>
          <w:cantSplit/>
          <w:trHeight w:val="276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 xml:space="preserve">Sutrikimas pašalintas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Sutrikimas dalinai pašalintas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</w:rPr>
              <w:t>Nėra pasiekimų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1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Kalbėjimo sutrikimai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Kalbėjimo tempo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Balso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528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pacing w:val="-10"/>
                <w:sz w:val="24"/>
                <w:szCs w:val="24"/>
              </w:rPr>
              <w:t>Kalbos sutrikimai:</w:t>
            </w:r>
          </w:p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pacing w:val="-10"/>
                <w:sz w:val="24"/>
                <w:szCs w:val="24"/>
              </w:rPr>
              <w:t>kalbos neišsivystymas: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30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-10"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nežymus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585895" w:rsidRPr="00543EEB" w:rsidTr="004F2E09">
        <w:trPr>
          <w:cantSplit/>
          <w:trHeight w:val="30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vidutinis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163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žymus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419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fonologiniai sutrikimai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585895" w:rsidRPr="00543EEB" w:rsidTr="004F2E09">
        <w:trPr>
          <w:cantSplit/>
          <w:trHeight w:val="272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sutrikdyta kalbos raida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585895" w:rsidRPr="00543EEB" w:rsidTr="004F2E09">
        <w:trPr>
          <w:cantSplit/>
          <w:trHeight w:val="272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sulėtėjusi kalbos raida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Rašymo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Skaitymo sutrikimai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8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Įvairūs kiti  komunikacijos sutrikimai:mikčiojimas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143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28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elektyvusis mutizmas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  <w:trHeight w:val="2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Kiti sutrikimai: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5895" w:rsidRPr="00543EEB" w:rsidTr="004F2E09">
        <w:trPr>
          <w:cantSplit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Iš viso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6E301D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895" w:rsidRPr="00543EEB" w:rsidRDefault="006E301D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6E301D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95" w:rsidRPr="00543EEB" w:rsidRDefault="006E301D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895" w:rsidRPr="00543EEB" w:rsidRDefault="00585895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95" w:rsidRPr="00543EEB" w:rsidRDefault="006E301D" w:rsidP="004F2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46</w:t>
            </w:r>
            <w:r w:rsidR="005858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585895" w:rsidRDefault="00585895" w:rsidP="00585895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585895" w:rsidRDefault="00585895" w:rsidP="00585895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85895" w:rsidRPr="00585895" w:rsidRDefault="00585895" w:rsidP="00585895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75E29" w:rsidRPr="000C15C9" w:rsidRDefault="000C15C9" w:rsidP="00285422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15C9">
        <w:rPr>
          <w:rFonts w:ascii="Times New Roman" w:hAnsi="Times New Roman" w:cs="Times New Roman"/>
          <w:b/>
          <w:sz w:val="24"/>
          <w:szCs w:val="24"/>
          <w:lang w:val="lt-LT"/>
        </w:rPr>
        <w:t>IŠVADOS:</w:t>
      </w:r>
    </w:p>
    <w:p w:rsidR="00B75E29" w:rsidRDefault="00B75E29" w:rsidP="00285422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2021/2022</w:t>
      </w:r>
      <w:r w:rsidR="002F036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A79B6">
        <w:rPr>
          <w:rFonts w:ascii="Times New Roman" w:hAnsi="Times New Roman" w:cs="Times New Roman"/>
          <w:sz w:val="24"/>
          <w:szCs w:val="24"/>
          <w:lang w:val="lt-LT"/>
        </w:rPr>
        <w:t xml:space="preserve"> Šilutės Žibų pradinėje mokykloje </w:t>
      </w:r>
      <w:proofErr w:type="spellStart"/>
      <w:r w:rsidR="008A79B6">
        <w:rPr>
          <w:rFonts w:ascii="Times New Roman" w:hAnsi="Times New Roman" w:cs="Times New Roman"/>
          <w:sz w:val="24"/>
          <w:szCs w:val="24"/>
          <w:lang w:val="lt-LT"/>
        </w:rPr>
        <w:t>logopedinė</w:t>
      </w:r>
      <w:proofErr w:type="spellEnd"/>
      <w:r w:rsidR="008A79B6">
        <w:rPr>
          <w:rFonts w:ascii="Times New Roman" w:hAnsi="Times New Roman" w:cs="Times New Roman"/>
          <w:sz w:val="24"/>
          <w:szCs w:val="24"/>
          <w:lang w:val="lt-LT"/>
        </w:rPr>
        <w:t xml:space="preserve"> pagalba buvo teikiama </w:t>
      </w:r>
      <w:r w:rsidR="00396CB6">
        <w:rPr>
          <w:rFonts w:ascii="Times New Roman" w:hAnsi="Times New Roman" w:cs="Times New Roman"/>
          <w:sz w:val="24"/>
          <w:szCs w:val="24"/>
          <w:lang w:val="lt-LT"/>
        </w:rPr>
        <w:t>72 mokiniams.</w:t>
      </w:r>
      <w:r w:rsidR="002F036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F0366">
        <w:rPr>
          <w:rFonts w:ascii="Times New Roman" w:hAnsi="Times New Roman" w:cs="Times New Roman"/>
          <w:sz w:val="24"/>
          <w:szCs w:val="24"/>
          <w:lang w:val="lt-LT"/>
        </w:rPr>
        <w:t>Logopedines</w:t>
      </w:r>
      <w:proofErr w:type="spellEnd"/>
      <w:r w:rsidR="002F0366">
        <w:rPr>
          <w:rFonts w:ascii="Times New Roman" w:hAnsi="Times New Roman" w:cs="Times New Roman"/>
          <w:sz w:val="24"/>
          <w:szCs w:val="24"/>
          <w:lang w:val="lt-LT"/>
        </w:rPr>
        <w:t xml:space="preserve"> pratybas lankė 72 mokiniai. Pašalinti sutrikimą pavyko 11 mokiniams. Dalinai sutrikimą pašalinti pavyko 61 mokiniui. </w:t>
      </w:r>
    </w:p>
    <w:p w:rsidR="000E0318" w:rsidRDefault="002F0366" w:rsidP="000E031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2022/2023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Šilutės Žibų pradinėje mokykloje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logopedinė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pagalba buvo teikiama 79 mokiniams.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Logopedines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pratybas lankė 79 mokiniai. Pašalinti sutrikimą pavyko 23 mokiniams. Dalinai sutrikimą pašalinti pavyko 56 mokiniams. </w:t>
      </w:r>
      <w:r w:rsidR="000E0318">
        <w:rPr>
          <w:rFonts w:ascii="Times New Roman" w:hAnsi="Times New Roman" w:cs="Times New Roman"/>
          <w:sz w:val="24"/>
          <w:szCs w:val="24"/>
          <w:lang w:val="lt-LT"/>
        </w:rPr>
        <w:t>Galima teigti, kad visų pirmų klasių mokinių kalba mokslo metų pradžioje yra įvertinama. Beveik visiems</w:t>
      </w:r>
      <w:r w:rsidR="000E0318" w:rsidRPr="00285422">
        <w:rPr>
          <w:rFonts w:ascii="Times New Roman" w:hAnsi="Times New Roman" w:cs="Times New Roman"/>
          <w:sz w:val="24"/>
          <w:szCs w:val="24"/>
          <w:lang w:val="lt-LT"/>
        </w:rPr>
        <w:t xml:space="preserve"> mokyklos </w:t>
      </w:r>
      <w:r w:rsidR="000E0318">
        <w:rPr>
          <w:rFonts w:ascii="Times New Roman" w:hAnsi="Times New Roman" w:cs="Times New Roman"/>
          <w:sz w:val="24"/>
          <w:szCs w:val="24"/>
          <w:lang w:val="lt-LT"/>
        </w:rPr>
        <w:t>mokiniams</w:t>
      </w:r>
      <w:r w:rsidR="000E0318" w:rsidRPr="00285422">
        <w:rPr>
          <w:rFonts w:ascii="Times New Roman" w:hAnsi="Times New Roman" w:cs="Times New Roman"/>
          <w:sz w:val="24"/>
          <w:szCs w:val="24"/>
          <w:lang w:val="lt-LT"/>
        </w:rPr>
        <w:t>, turintiems kalbos ir kitų kalbėjimo sutrikimų, teikiama logopedo pagalba.</w:t>
      </w:r>
    </w:p>
    <w:p w:rsidR="002F0366" w:rsidRDefault="002F0366" w:rsidP="002F0366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2F0366" w:rsidRPr="00B75E29" w:rsidRDefault="002F0366" w:rsidP="002F0366">
      <w:pPr>
        <w:tabs>
          <w:tab w:val="left" w:pos="1296"/>
          <w:tab w:val="center" w:pos="4153"/>
          <w:tab w:val="right" w:pos="8306"/>
        </w:tabs>
        <w:spacing w:after="0" w:line="240" w:lineRule="auto"/>
        <w:ind w:right="266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75E29" w:rsidRPr="00B75E29" w:rsidRDefault="00B75E29" w:rsidP="00B75E29">
      <w:pPr>
        <w:tabs>
          <w:tab w:val="left" w:pos="1296"/>
          <w:tab w:val="center" w:pos="4153"/>
          <w:tab w:val="right" w:pos="8306"/>
        </w:tabs>
        <w:spacing w:after="0" w:line="240" w:lineRule="auto"/>
        <w:ind w:right="266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285422" w:rsidRPr="00285422" w:rsidRDefault="00285422" w:rsidP="00D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96E91" w:rsidRDefault="00D96E91" w:rsidP="00D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Raktinis žodis: Gabumų ir talentų ugdymas</w:t>
      </w:r>
    </w:p>
    <w:p w:rsidR="00D96E91" w:rsidRPr="00D96E91" w:rsidRDefault="00D96E91" w:rsidP="00D96E9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A5899" w:rsidRDefault="005A5899" w:rsidP="005A589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5A5899">
        <w:rPr>
          <w:rFonts w:ascii="Times New Roman" w:hAnsi="Times New Roman" w:cs="Times New Roman"/>
          <w:b/>
          <w:sz w:val="28"/>
          <w:szCs w:val="28"/>
          <w:lang w:val="lt-LT"/>
        </w:rPr>
        <w:t>Iliustracija:</w:t>
      </w:r>
      <w:r w:rsidR="00F4306F">
        <w:rPr>
          <w:rFonts w:ascii="Times New Roman" w:hAnsi="Times New Roman" w:cs="Times New Roman"/>
          <w:sz w:val="28"/>
          <w:szCs w:val="28"/>
          <w:lang w:val="lt-LT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eveik visi </w:t>
      </w:r>
      <w:r w:rsidR="00F4306F">
        <w:rPr>
          <w:rFonts w:ascii="Times New Roman" w:hAnsi="Times New Roman" w:cs="Times New Roman"/>
          <w:sz w:val="28"/>
          <w:szCs w:val="28"/>
          <w:lang w:val="lt-LT"/>
        </w:rPr>
        <w:t>(90-100%)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mokytojai laiku pastebi ir tinkamai ugdo bei sudaro sąlygas mokinių gabumų ir talentų ugdymui.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59"/>
        <w:gridCol w:w="1938"/>
        <w:gridCol w:w="2071"/>
        <w:gridCol w:w="2888"/>
      </w:tblGrid>
      <w:tr w:rsidR="005A5899" w:rsidTr="007D777C">
        <w:tc>
          <w:tcPr>
            <w:tcW w:w="3681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>Pasiekimų sritys</w:t>
            </w:r>
          </w:p>
        </w:tc>
        <w:tc>
          <w:tcPr>
            <w:tcW w:w="1984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2021-2022 m. m.</w:t>
            </w:r>
          </w:p>
        </w:tc>
        <w:tc>
          <w:tcPr>
            <w:tcW w:w="2127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2022-2023 m. m.</w:t>
            </w:r>
          </w:p>
        </w:tc>
        <w:tc>
          <w:tcPr>
            <w:tcW w:w="2970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Dinamikos analizė</w:t>
            </w:r>
          </w:p>
        </w:tc>
      </w:tr>
      <w:tr w:rsidR="005A5899" w:rsidTr="007D777C">
        <w:tc>
          <w:tcPr>
            <w:tcW w:w="3681" w:type="dxa"/>
          </w:tcPr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 w:rsidRPr="007749A5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>Mokymosi pasiekimai</w:t>
            </w:r>
          </w:p>
          <w:p w:rsidR="005A5899" w:rsidRPr="007749A5" w:rsidRDefault="005A5899" w:rsidP="007D777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(aukštesnysis lygis)</w:t>
            </w:r>
          </w:p>
        </w:tc>
        <w:tc>
          <w:tcPr>
            <w:tcW w:w="1984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17,6%</w:t>
            </w:r>
          </w:p>
        </w:tc>
        <w:tc>
          <w:tcPr>
            <w:tcW w:w="2127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19,9%</w:t>
            </w:r>
          </w:p>
        </w:tc>
        <w:tc>
          <w:tcPr>
            <w:tcW w:w="2970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+2.3%</w:t>
            </w:r>
          </w:p>
        </w:tc>
      </w:tr>
      <w:tr w:rsidR="005A5899" w:rsidTr="007D777C">
        <w:tc>
          <w:tcPr>
            <w:tcW w:w="3681" w:type="dxa"/>
          </w:tcPr>
          <w:p w:rsidR="005A5899" w:rsidRPr="007749A5" w:rsidRDefault="005A5899" w:rsidP="007D777C">
            <w:pPr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 w:rsidRPr="007749A5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>Olimpiados</w:t>
            </w:r>
          </w:p>
          <w:p w:rsidR="005A5899" w:rsidRDefault="005A5899" w:rsidP="007D777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(4-tų klasių rajoninė anglų kalbos olimpiada, 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„KINGS“ ( II turas, tarptautinis anglų kalbos, matematikos, lietuvių kalbos, pasaulio pažinimo, IT, logika).</w:t>
            </w:r>
          </w:p>
        </w:tc>
        <w:tc>
          <w:tcPr>
            <w:tcW w:w="1984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5,3%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 mok.</w:t>
            </w:r>
          </w:p>
          <w:p w:rsidR="005A5899" w:rsidRDefault="00990F0B" w:rsidP="00990F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  </w:t>
            </w:r>
            <w:r w:rsidR="005A589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4,0 %</w:t>
            </w:r>
          </w:p>
          <w:p w:rsidR="005A5899" w:rsidRDefault="005A5899" w:rsidP="007D777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27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6,8%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 mok.</w:t>
            </w:r>
          </w:p>
          <w:p w:rsidR="005A5899" w:rsidRDefault="00990F0B" w:rsidP="00990F0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   </w:t>
            </w:r>
            <w:r w:rsidR="005A589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4,2%</w:t>
            </w:r>
          </w:p>
        </w:tc>
        <w:tc>
          <w:tcPr>
            <w:tcW w:w="2970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+1,5%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990F0B" w:rsidP="00990F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        </w:t>
            </w:r>
            <w:r w:rsidR="005A589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+0,2%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A5899" w:rsidTr="007D777C">
        <w:tc>
          <w:tcPr>
            <w:tcW w:w="3681" w:type="dxa"/>
          </w:tcPr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 w:rsidRPr="007749A5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>Konkursai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>:</w:t>
            </w:r>
          </w:p>
          <w:p w:rsidR="005A5899" w:rsidRPr="007749A5" w:rsidRDefault="005A5899" w:rsidP="007D777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„</w:t>
            </w:r>
            <w:r w:rsidRPr="00F04016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>Kengūra“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(tarptautinis lietuvių kalbos, matematikos, gamtos).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OLYMPIS (edukacinis konkursas)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Pr="00F04016" w:rsidRDefault="005A5899" w:rsidP="007D777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 w:rsidRPr="00F04016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 xml:space="preserve">Šokių 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Šiuolaikinių šokių: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Shoch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“, Lithuanian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“ (tarptautiniai konkursai,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„Rudeninės spalvos“ (respublikinis konkursas)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Tautinių šokių: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„Aguonėlė“ 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(respublikinis konkursas)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PIEŠINIŲ (tarptautiniai, respublikiniai, regioniniai konkursai)</w:t>
            </w:r>
          </w:p>
        </w:tc>
        <w:tc>
          <w:tcPr>
            <w:tcW w:w="1984" w:type="dxa"/>
          </w:tcPr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4,3%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64 % 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(76% gavo I, II, III laipsnio diplomus)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28,6%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≈40% </w:t>
            </w:r>
          </w:p>
        </w:tc>
        <w:tc>
          <w:tcPr>
            <w:tcW w:w="2127" w:type="dxa"/>
          </w:tcPr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7,3%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47,6 %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(82% gavo I, II, III laipsnio diplomus)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31,8%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≈ 40%</w:t>
            </w:r>
          </w:p>
        </w:tc>
        <w:tc>
          <w:tcPr>
            <w:tcW w:w="2970" w:type="dxa"/>
          </w:tcPr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+3,0%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-16,4%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+6%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≈30% mokinių gabūs šokiui </w:t>
            </w: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≈ 40% mokinių dalyvauja konkursuose</w:t>
            </w:r>
          </w:p>
        </w:tc>
      </w:tr>
      <w:tr w:rsidR="005A5899" w:rsidTr="007D777C">
        <w:tc>
          <w:tcPr>
            <w:tcW w:w="3681" w:type="dxa"/>
          </w:tcPr>
          <w:p w:rsidR="005A5899" w:rsidRPr="007749A5" w:rsidRDefault="005A5899" w:rsidP="007D777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 w:rsidRPr="007749A5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>Varžybos</w:t>
            </w:r>
          </w:p>
          <w:p w:rsidR="005A5899" w:rsidRDefault="005A5899" w:rsidP="007D7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(kvadrato)</w:t>
            </w:r>
          </w:p>
        </w:tc>
        <w:tc>
          <w:tcPr>
            <w:tcW w:w="1984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8,5%</w:t>
            </w:r>
          </w:p>
        </w:tc>
        <w:tc>
          <w:tcPr>
            <w:tcW w:w="2127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8,5%</w:t>
            </w:r>
          </w:p>
        </w:tc>
        <w:tc>
          <w:tcPr>
            <w:tcW w:w="2970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8,5% 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>3-4 klasių mokinių dalyvauja zoninėse kvadrato varžybose</w:t>
            </w:r>
          </w:p>
        </w:tc>
      </w:tr>
      <w:tr w:rsidR="005A5899" w:rsidTr="007D777C">
        <w:tc>
          <w:tcPr>
            <w:tcW w:w="3681" w:type="dxa"/>
          </w:tcPr>
          <w:p w:rsidR="005A5899" w:rsidRDefault="005A5899" w:rsidP="007D777C">
            <w:pPr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 w:rsidRPr="007749A5"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lastRenderedPageBreak/>
              <w:t>Projektai</w:t>
            </w:r>
          </w:p>
          <w:p w:rsidR="005A5899" w:rsidRPr="00DB32AD" w:rsidRDefault="005A5899" w:rsidP="007D777C">
            <w:pPr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lt-LT"/>
              </w:rPr>
              <w:t xml:space="preserve">ERASMUS + „SUKURKIME SAVO KNYGĄ KARTU“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(tarptautinis projektas)</w:t>
            </w:r>
          </w:p>
        </w:tc>
        <w:tc>
          <w:tcPr>
            <w:tcW w:w="1984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17,1%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27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17,1%</w:t>
            </w:r>
          </w:p>
        </w:tc>
        <w:tc>
          <w:tcPr>
            <w:tcW w:w="2970" w:type="dxa"/>
          </w:tcPr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≈ 17,1%</w:t>
            </w:r>
          </w:p>
          <w:p w:rsidR="005A5899" w:rsidRDefault="005A5899" w:rsidP="007D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3-4 klasių mokinių dalyvavo tarptautiniame projekte anglų kalba</w:t>
            </w:r>
          </w:p>
        </w:tc>
      </w:tr>
    </w:tbl>
    <w:p w:rsidR="005A5899" w:rsidRDefault="005A5899" w:rsidP="005A5899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5A5899" w:rsidRDefault="005A5899" w:rsidP="005A5899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8F3344">
        <w:rPr>
          <w:rFonts w:ascii="Times New Roman" w:hAnsi="Times New Roman" w:cs="Times New Roman"/>
          <w:b/>
          <w:sz w:val="28"/>
          <w:szCs w:val="28"/>
          <w:lang w:val="lt-LT"/>
        </w:rPr>
        <w:t>Išvada.</w:t>
      </w:r>
      <w:r w:rsidRPr="008F3344">
        <w:rPr>
          <w:rFonts w:ascii="Times New Roman" w:hAnsi="Times New Roman" w:cs="Times New Roman"/>
          <w:sz w:val="28"/>
          <w:szCs w:val="28"/>
          <w:lang w:val="lt-LT"/>
        </w:rPr>
        <w:t xml:space="preserve"> Pagal gautus iliustr</w:t>
      </w:r>
      <w:r>
        <w:rPr>
          <w:rFonts w:ascii="Times New Roman" w:hAnsi="Times New Roman" w:cs="Times New Roman"/>
          <w:sz w:val="28"/>
          <w:szCs w:val="28"/>
          <w:lang w:val="lt-LT"/>
        </w:rPr>
        <w:t>acijos „Gabumų ir talentų ugdymas</w:t>
      </w:r>
      <w:r w:rsidRPr="008F3344">
        <w:rPr>
          <w:rFonts w:ascii="Times New Roman" w:hAnsi="Times New Roman" w:cs="Times New Roman"/>
          <w:sz w:val="28"/>
          <w:szCs w:val="28"/>
          <w:lang w:val="lt-LT"/>
        </w:rPr>
        <w:t>“ duomenis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beveik visi mokytojai tinkamai ugdo bei sudaro sąlygas mokinių gabumų ir talentų ugdymui. Mokinių dalyvavimas mokamose olimpiadose ir konkursuose darosi tikslingesnis,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nesiorentuojama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į masiškumą, pasiekiami aukštesni rezultatai. Dalis mokyklos mokinių atstovauja mokyklą tarptautiniuose, respublikiniuose, rajoniniuose meninės raiškos konkursuose, dažnai užima prizines vietas. Didėja mokinių skaičius mokomuosiuose dalykuose pasiekusių aukštesnįjį lygį. </w:t>
      </w:r>
    </w:p>
    <w:p w:rsidR="00D433B9" w:rsidRDefault="00D433B9" w:rsidP="005A5899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D433B9" w:rsidRPr="00D433B9" w:rsidRDefault="00D433B9" w:rsidP="00D433B9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433B9">
        <w:rPr>
          <w:rFonts w:ascii="Times New Roman" w:hAnsi="Times New Roman" w:cs="Times New Roman"/>
          <w:b/>
          <w:sz w:val="28"/>
          <w:szCs w:val="28"/>
          <w:lang w:val="lt-LT"/>
        </w:rPr>
        <w:t>APIBENDRINIMAS</w:t>
      </w:r>
    </w:p>
    <w:p w:rsidR="00953C36" w:rsidRDefault="00A6697A" w:rsidP="00692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Nagrinėjant </w:t>
      </w:r>
      <w:r w:rsidR="00D433B9">
        <w:rPr>
          <w:rFonts w:ascii="Times New Roman" w:hAnsi="Times New Roman" w:cs="Times New Roman"/>
          <w:sz w:val="24"/>
          <w:szCs w:val="24"/>
          <w:lang w:val="lt-LT"/>
        </w:rPr>
        <w:t xml:space="preserve"> plačiojo įsivertinimo 2023 </w:t>
      </w:r>
      <w:proofErr w:type="spellStart"/>
      <w:r w:rsidR="00D433B9">
        <w:rPr>
          <w:rFonts w:ascii="Times New Roman" w:hAnsi="Times New Roman" w:cs="Times New Roman"/>
          <w:sz w:val="24"/>
          <w:szCs w:val="24"/>
          <w:lang w:val="lt-LT"/>
        </w:rPr>
        <w:t>m.m</w:t>
      </w:r>
      <w:proofErr w:type="spellEnd"/>
      <w:r w:rsidR="00D433B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448CB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>mokytojų klausimyno</w:t>
      </w:r>
      <w:r w:rsidR="001448CB">
        <w:rPr>
          <w:rFonts w:ascii="Times New Roman" w:hAnsi="Times New Roman" w:cs="Times New Roman"/>
          <w:sz w:val="24"/>
          <w:szCs w:val="24"/>
          <w:lang w:val="lt-LT"/>
        </w:rPr>
        <w:t xml:space="preserve"> M 16)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 w:rsidR="00D433B9">
        <w:rPr>
          <w:rFonts w:ascii="Times New Roman" w:hAnsi="Times New Roman" w:cs="Times New Roman"/>
          <w:sz w:val="24"/>
          <w:szCs w:val="24"/>
          <w:lang w:val="lt-LT"/>
        </w:rPr>
        <w:t xml:space="preserve"> galima teigti, kad </w:t>
      </w:r>
      <w:r w:rsidR="00A341D9">
        <w:rPr>
          <w:rFonts w:ascii="Times New Roman" w:hAnsi="Times New Roman" w:cs="Times New Roman"/>
          <w:sz w:val="24"/>
          <w:szCs w:val="24"/>
          <w:lang w:val="lt-LT"/>
        </w:rPr>
        <w:t>beveik visi (90-100%)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kelia sau aukštus reikalavimus, </w:t>
      </w:r>
      <w:r w:rsidR="001448CB">
        <w:rPr>
          <w:rFonts w:ascii="Times New Roman" w:hAnsi="Times New Roman" w:cs="Times New Roman"/>
          <w:sz w:val="24"/>
          <w:szCs w:val="24"/>
          <w:lang w:val="lt-LT"/>
        </w:rPr>
        <w:t>geba suplanuoti ir pravesti gerą pamoką ir siekia kuo geriau atlikti savo darbą. Veiklos po pamokų mokiniams yra įdomios ir priimtinos. Tobulintinas aspektas būtų kelti mokytojų pasitikėjimą savimi .</w:t>
      </w:r>
    </w:p>
    <w:p w:rsidR="00D433B9" w:rsidRDefault="00D433B9" w:rsidP="00692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6E91" w:rsidRPr="00953C36" w:rsidRDefault="00D96E91" w:rsidP="00692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84284" w:rsidRDefault="00D433B9">
      <w:pPr>
        <w:rPr>
          <w:rFonts w:ascii="Times New Roman" w:hAnsi="Times New Roman" w:cs="Times New Roman"/>
          <w:sz w:val="40"/>
          <w:szCs w:val="40"/>
        </w:rPr>
      </w:pPr>
      <w:r w:rsidRPr="00D433B9">
        <w:rPr>
          <w:rFonts w:ascii="Times New Roman" w:hAnsi="Times New Roman" w:cs="Times New Roman"/>
          <w:noProof/>
          <w:sz w:val="40"/>
          <w:szCs w:val="40"/>
          <w:lang w:val="lt-LT" w:eastAsia="lt-LT"/>
        </w:rPr>
        <w:drawing>
          <wp:inline distT="0" distB="0" distL="0" distR="0">
            <wp:extent cx="5826967" cy="354330"/>
            <wp:effectExtent l="0" t="0" r="2540" b="7620"/>
            <wp:docPr id="1" name="Paveikslėlis 1" descr="C:\Users\Vartotojas\Desktop\Ekrano nuotrauka 2023-06-15 10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Ekrano nuotrauka 2023-06-15 1037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7" cy="3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B9" w:rsidRDefault="00D433B9">
      <w:pPr>
        <w:rPr>
          <w:rFonts w:ascii="Times New Roman" w:hAnsi="Times New Roman" w:cs="Times New Roman"/>
          <w:sz w:val="40"/>
          <w:szCs w:val="40"/>
        </w:rPr>
      </w:pPr>
      <w:r w:rsidRPr="00D433B9">
        <w:rPr>
          <w:rFonts w:ascii="Times New Roman" w:hAnsi="Times New Roman" w:cs="Times New Roman"/>
          <w:noProof/>
          <w:sz w:val="40"/>
          <w:szCs w:val="40"/>
          <w:lang w:val="lt-LT" w:eastAsia="lt-LT"/>
        </w:rPr>
        <w:drawing>
          <wp:inline distT="0" distB="0" distL="0" distR="0" wp14:anchorId="4965AB98" wp14:editId="5C74D21D">
            <wp:extent cx="6645910" cy="478442"/>
            <wp:effectExtent l="0" t="0" r="2540" b="0"/>
            <wp:docPr id="2" name="Paveikslėlis 2" descr="C:\Users\Vartotojas\Desktop\Ekrano nuotrauka 2023-06-15 103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Ekrano nuotrauka 2023-06-15 1032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B9" w:rsidRDefault="00D433B9">
      <w:pPr>
        <w:rPr>
          <w:rFonts w:ascii="Times New Roman" w:hAnsi="Times New Roman" w:cs="Times New Roman"/>
          <w:sz w:val="40"/>
          <w:szCs w:val="40"/>
        </w:rPr>
      </w:pPr>
      <w:r w:rsidRPr="00D433B9">
        <w:rPr>
          <w:rFonts w:ascii="Times New Roman" w:hAnsi="Times New Roman" w:cs="Times New Roman"/>
          <w:noProof/>
          <w:sz w:val="40"/>
          <w:szCs w:val="40"/>
          <w:lang w:val="lt-LT" w:eastAsia="lt-LT"/>
        </w:rPr>
        <w:drawing>
          <wp:inline distT="0" distB="0" distL="0" distR="0">
            <wp:extent cx="6645910" cy="1793270"/>
            <wp:effectExtent l="0" t="0" r="2540" b="0"/>
            <wp:docPr id="3" name="Paveikslėlis 3" descr="C:\Users\Vartotojas\Desktop\Ekrano nuotrauka 2023-06-15 103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Desktop\Ekrano nuotrauka 2023-06-15 1034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9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B9" w:rsidRDefault="00D433B9">
      <w:pPr>
        <w:rPr>
          <w:rFonts w:ascii="Times New Roman" w:hAnsi="Times New Roman" w:cs="Times New Roman"/>
          <w:sz w:val="40"/>
          <w:szCs w:val="40"/>
        </w:rPr>
      </w:pPr>
    </w:p>
    <w:p w:rsidR="00835FA8" w:rsidRPr="00835FA8" w:rsidRDefault="00835FA8">
      <w:pPr>
        <w:rPr>
          <w:rFonts w:ascii="Times New Roman" w:hAnsi="Times New Roman" w:cs="Times New Roman"/>
          <w:sz w:val="40"/>
          <w:szCs w:val="40"/>
        </w:rPr>
      </w:pPr>
    </w:p>
    <w:sectPr w:rsidR="00835FA8" w:rsidRPr="00835FA8" w:rsidSect="0031255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D92"/>
    <w:multiLevelType w:val="hybridMultilevel"/>
    <w:tmpl w:val="255E14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27CE"/>
    <w:multiLevelType w:val="hybridMultilevel"/>
    <w:tmpl w:val="D3F4BF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A37"/>
    <w:multiLevelType w:val="hybridMultilevel"/>
    <w:tmpl w:val="83446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8"/>
    <w:rsid w:val="00091341"/>
    <w:rsid w:val="000C15C9"/>
    <w:rsid w:val="000E0318"/>
    <w:rsid w:val="001448CB"/>
    <w:rsid w:val="00285422"/>
    <w:rsid w:val="002F0366"/>
    <w:rsid w:val="0031255A"/>
    <w:rsid w:val="00396CB6"/>
    <w:rsid w:val="003B6945"/>
    <w:rsid w:val="004154AA"/>
    <w:rsid w:val="0042369C"/>
    <w:rsid w:val="00513250"/>
    <w:rsid w:val="00560019"/>
    <w:rsid w:val="00585895"/>
    <w:rsid w:val="005A5899"/>
    <w:rsid w:val="005F3B88"/>
    <w:rsid w:val="00632282"/>
    <w:rsid w:val="00692485"/>
    <w:rsid w:val="006E301D"/>
    <w:rsid w:val="00784284"/>
    <w:rsid w:val="00831578"/>
    <w:rsid w:val="00835FA8"/>
    <w:rsid w:val="008A79B6"/>
    <w:rsid w:val="00922623"/>
    <w:rsid w:val="00953C36"/>
    <w:rsid w:val="00982232"/>
    <w:rsid w:val="00990F0B"/>
    <w:rsid w:val="00A341D9"/>
    <w:rsid w:val="00A61257"/>
    <w:rsid w:val="00A6697A"/>
    <w:rsid w:val="00A8392A"/>
    <w:rsid w:val="00AB087E"/>
    <w:rsid w:val="00B75E29"/>
    <w:rsid w:val="00C87A5E"/>
    <w:rsid w:val="00CD5F46"/>
    <w:rsid w:val="00D433B9"/>
    <w:rsid w:val="00D96E91"/>
    <w:rsid w:val="00E92F77"/>
    <w:rsid w:val="00F4306F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8DAD-0A69-44F1-A324-5BABD5A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485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248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A58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9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5688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Balčytienė</cp:lastModifiedBy>
  <cp:revision>2</cp:revision>
  <cp:lastPrinted>2024-01-29T06:23:00Z</cp:lastPrinted>
  <dcterms:created xsi:type="dcterms:W3CDTF">2024-03-07T18:39:00Z</dcterms:created>
  <dcterms:modified xsi:type="dcterms:W3CDTF">2024-03-07T18:39:00Z</dcterms:modified>
</cp:coreProperties>
</file>